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9D" w:rsidRDefault="00160A9D" w:rsidP="00160A9D">
      <w:pPr>
        <w:pStyle w:val="a3"/>
        <w:tabs>
          <w:tab w:val="left" w:pos="1134"/>
        </w:tabs>
        <w:spacing w:after="0" w:line="240" w:lineRule="auto"/>
        <w:ind w:left="3686"/>
        <w:rPr>
          <w:rFonts w:ascii="Times New Roman" w:hAnsi="Times New Roman"/>
          <w:b/>
          <w:sz w:val="28"/>
          <w:szCs w:val="28"/>
          <w:lang w:val="uk-UA"/>
        </w:rPr>
      </w:pPr>
    </w:p>
    <w:p w:rsidR="00160A9D" w:rsidRPr="0075084E" w:rsidRDefault="00160A9D" w:rsidP="00160A9D">
      <w:pPr>
        <w:spacing w:after="0" w:line="240" w:lineRule="auto"/>
        <w:ind w:left="3686"/>
        <w:rPr>
          <w:rFonts w:ascii="Times New Roman" w:hAnsi="Times New Roman" w:cs="Times New Roman"/>
          <w:b/>
          <w:sz w:val="28"/>
          <w:szCs w:val="28"/>
        </w:rPr>
      </w:pPr>
      <w:r w:rsidRPr="0075084E">
        <w:rPr>
          <w:rFonts w:ascii="Times New Roman" w:hAnsi="Times New Roman" w:cs="Times New Roman"/>
          <w:b/>
          <w:sz w:val="28"/>
          <w:szCs w:val="28"/>
        </w:rPr>
        <w:t>Додаток 2</w:t>
      </w:r>
    </w:p>
    <w:p w:rsidR="00160A9D" w:rsidRPr="0075084E" w:rsidRDefault="00160A9D" w:rsidP="00160A9D">
      <w:pPr>
        <w:spacing w:after="0" w:line="240" w:lineRule="auto"/>
        <w:ind w:left="3686"/>
        <w:rPr>
          <w:rFonts w:ascii="Times New Roman" w:hAnsi="Times New Roman" w:cs="Times New Roman"/>
          <w:b/>
          <w:sz w:val="28"/>
          <w:szCs w:val="28"/>
        </w:rPr>
      </w:pPr>
      <w:r w:rsidRPr="0075084E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160A9D" w:rsidRDefault="00160A9D" w:rsidP="00160A9D">
      <w:pPr>
        <w:spacing w:after="0" w:line="240" w:lineRule="auto"/>
        <w:ind w:left="3686"/>
        <w:rPr>
          <w:rFonts w:ascii="Times New Roman" w:hAnsi="Times New Roman" w:cs="Times New Roman"/>
          <w:b/>
          <w:sz w:val="28"/>
          <w:szCs w:val="28"/>
        </w:rPr>
      </w:pPr>
      <w:r w:rsidRPr="0075084E">
        <w:rPr>
          <w:rFonts w:ascii="Times New Roman" w:hAnsi="Times New Roman" w:cs="Times New Roman"/>
          <w:b/>
          <w:sz w:val="28"/>
          <w:szCs w:val="28"/>
        </w:rPr>
        <w:t>рішення міської ради</w:t>
      </w:r>
    </w:p>
    <w:p w:rsidR="00160A9D" w:rsidRPr="0075084E" w:rsidRDefault="00160A9D" w:rsidP="00160A9D">
      <w:pPr>
        <w:spacing w:after="0" w:line="240" w:lineRule="auto"/>
        <w:ind w:left="3686"/>
        <w:rPr>
          <w:rFonts w:ascii="Times New Roman" w:hAnsi="Times New Roman" w:cs="Times New Roman"/>
          <w:b/>
          <w:sz w:val="28"/>
          <w:szCs w:val="28"/>
        </w:rPr>
      </w:pPr>
      <w:r w:rsidRPr="0075084E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Pr="0075084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5084E">
        <w:rPr>
          <w:rFonts w:ascii="Times New Roman" w:hAnsi="Times New Roman" w:cs="Times New Roman"/>
          <w:b/>
          <w:sz w:val="28"/>
          <w:szCs w:val="28"/>
        </w:rPr>
        <w:t xml:space="preserve"> грудня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5084E">
        <w:rPr>
          <w:rFonts w:ascii="Times New Roman" w:hAnsi="Times New Roman" w:cs="Times New Roman"/>
          <w:b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b/>
          <w:sz w:val="28"/>
          <w:szCs w:val="28"/>
        </w:rPr>
        <w:t>341-1/2021</w:t>
      </w:r>
    </w:p>
    <w:p w:rsidR="00160A9D" w:rsidRDefault="00160A9D" w:rsidP="00160A9D">
      <w:pPr>
        <w:spacing w:after="0" w:line="240" w:lineRule="auto"/>
        <w:ind w:left="3686"/>
        <w:rPr>
          <w:rFonts w:ascii="Times New Roman" w:hAnsi="Times New Roman" w:cs="Times New Roman"/>
          <w:b/>
          <w:sz w:val="28"/>
          <w:szCs w:val="28"/>
        </w:rPr>
      </w:pPr>
      <w:r w:rsidRPr="0075084E">
        <w:rPr>
          <w:rFonts w:ascii="Times New Roman" w:hAnsi="Times New Roman" w:cs="Times New Roman"/>
          <w:b/>
          <w:sz w:val="28"/>
          <w:szCs w:val="28"/>
        </w:rPr>
        <w:t xml:space="preserve">“Про затвердження Програми Бюджет </w:t>
      </w:r>
    </w:p>
    <w:p w:rsidR="00160A9D" w:rsidRPr="0075084E" w:rsidRDefault="00160A9D" w:rsidP="00160A9D">
      <w:pPr>
        <w:spacing w:after="0" w:line="240" w:lineRule="auto"/>
        <w:ind w:left="36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5084E">
        <w:rPr>
          <w:rFonts w:ascii="Times New Roman" w:hAnsi="Times New Roman" w:cs="Times New Roman"/>
          <w:b/>
          <w:sz w:val="28"/>
          <w:szCs w:val="28"/>
        </w:rPr>
        <w:t>часті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84E">
        <w:rPr>
          <w:rFonts w:ascii="Times New Roman" w:hAnsi="Times New Roman" w:cs="Times New Roman"/>
          <w:b/>
          <w:sz w:val="28"/>
          <w:szCs w:val="28"/>
        </w:rPr>
        <w:t xml:space="preserve">Тисменицької міської ради </w:t>
      </w:r>
    </w:p>
    <w:p w:rsidR="00160A9D" w:rsidRPr="0075084E" w:rsidRDefault="00160A9D" w:rsidP="00160A9D">
      <w:pPr>
        <w:spacing w:after="0" w:line="240" w:lineRule="auto"/>
        <w:ind w:left="3686"/>
        <w:rPr>
          <w:rFonts w:ascii="Times New Roman" w:hAnsi="Times New Roman" w:cs="Times New Roman"/>
          <w:b/>
          <w:sz w:val="28"/>
          <w:szCs w:val="28"/>
        </w:rPr>
      </w:pPr>
      <w:r w:rsidRPr="0075084E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5084E">
        <w:rPr>
          <w:rFonts w:ascii="Times New Roman" w:hAnsi="Times New Roman" w:cs="Times New Roman"/>
          <w:b/>
          <w:sz w:val="28"/>
          <w:szCs w:val="28"/>
        </w:rPr>
        <w:t>-2025 роки”</w:t>
      </w:r>
    </w:p>
    <w:p w:rsidR="00160A9D" w:rsidRPr="0075084E" w:rsidRDefault="00160A9D" w:rsidP="00160A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0A9D" w:rsidRPr="0075084E" w:rsidRDefault="00160A9D" w:rsidP="00160A9D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084E">
        <w:rPr>
          <w:rFonts w:ascii="Times New Roman" w:hAnsi="Times New Roman" w:cs="Times New Roman"/>
          <w:b/>
          <w:sz w:val="28"/>
          <w:szCs w:val="28"/>
        </w:rPr>
        <w:t xml:space="preserve">Положення про Бюджет участі </w:t>
      </w:r>
    </w:p>
    <w:bookmarkEnd w:id="0"/>
    <w:p w:rsidR="00160A9D" w:rsidRPr="0075084E" w:rsidRDefault="00160A9D" w:rsidP="00160A9D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4E">
        <w:rPr>
          <w:rFonts w:ascii="Times New Roman" w:hAnsi="Times New Roman" w:cs="Times New Roman"/>
          <w:b/>
          <w:sz w:val="28"/>
          <w:szCs w:val="28"/>
        </w:rPr>
        <w:t>Тисменицької міської ради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5084E">
        <w:rPr>
          <w:rFonts w:ascii="Times New Roman" w:hAnsi="Times New Roman" w:cs="Times New Roman"/>
          <w:b/>
          <w:sz w:val="28"/>
          <w:szCs w:val="28"/>
        </w:rPr>
        <w:t>-2025 роки</w:t>
      </w:r>
    </w:p>
    <w:p w:rsidR="00160A9D" w:rsidRPr="0075084E" w:rsidRDefault="00160A9D" w:rsidP="00160A9D">
      <w:pPr>
        <w:keepLines/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A9D" w:rsidRPr="0075084E" w:rsidRDefault="00160A9D" w:rsidP="00160A9D">
      <w:pPr>
        <w:keepLines/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4E">
        <w:rPr>
          <w:rFonts w:ascii="Times New Roman" w:hAnsi="Times New Roman" w:cs="Times New Roman"/>
          <w:b/>
          <w:sz w:val="28"/>
          <w:szCs w:val="28"/>
        </w:rPr>
        <w:t xml:space="preserve">Розділ 1. Загальні положення </w:t>
      </w:r>
    </w:p>
    <w:p w:rsidR="00160A9D" w:rsidRPr="0075084E" w:rsidRDefault="00160A9D" w:rsidP="00160A9D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Положення про Бюджет участі Тисменицької міської ради 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визначає основні вимоги до організації і проведення процесу </w:t>
      </w:r>
      <w:proofErr w:type="spellStart"/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партиципаторного</w:t>
      </w:r>
      <w:proofErr w:type="spellEnd"/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бюджетування у Тисменицькій міській раді.</w:t>
      </w:r>
    </w:p>
    <w:p w:rsidR="00160A9D" w:rsidRPr="0075084E" w:rsidRDefault="00160A9D" w:rsidP="00160A9D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84E">
        <w:rPr>
          <w:rFonts w:ascii="Times New Roman" w:hAnsi="Times New Roman" w:cs="Times New Roman"/>
          <w:sz w:val="28"/>
          <w:szCs w:val="28"/>
        </w:rPr>
        <w:t>Бюджет участі – це процес взаємодії органів місцевого самоврядування з громадськістю, спрямований на включення жителів</w:t>
      </w:r>
      <w:r w:rsidRPr="0075084E">
        <w:rPr>
          <w:rFonts w:ascii="Times New Roman" w:hAnsi="Times New Roman" w:cs="Times New Roman"/>
          <w:sz w:val="28"/>
          <w:szCs w:val="28"/>
          <w:shd w:val="clear" w:color="auto" w:fill="FFFFFF"/>
        </w:rPr>
        <w:t>, які</w:t>
      </w:r>
      <w:r w:rsidRPr="0075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постійн</w:t>
      </w:r>
      <w:r w:rsidRPr="0075084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5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прожива</w:t>
      </w:r>
      <w:r w:rsidRPr="0075084E">
        <w:rPr>
          <w:rFonts w:ascii="Times New Roman" w:hAnsi="Times New Roman" w:cs="Times New Roman"/>
          <w:sz w:val="28"/>
          <w:szCs w:val="28"/>
          <w:shd w:val="clear" w:color="auto" w:fill="FFFFFF"/>
        </w:rPr>
        <w:t>ють</w:t>
      </w:r>
      <w:r w:rsidRPr="0075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межах </w:t>
      </w:r>
      <w:r w:rsidRPr="0075084E">
        <w:rPr>
          <w:rFonts w:ascii="Times New Roman" w:hAnsi="Times New Roman" w:cs="Times New Roman"/>
          <w:sz w:val="28"/>
          <w:szCs w:val="28"/>
        </w:rPr>
        <w:t xml:space="preserve">громади, до прийняття рішень щодо розподілу частини бюджету Тисменицької міської ради, </w:t>
      </w:r>
      <w:r w:rsidRPr="0075084E">
        <w:rPr>
          <w:rFonts w:ascii="Times New Roman" w:hAnsi="Times New Roman" w:cs="Times New Roman"/>
          <w:color w:val="000000"/>
          <w:sz w:val="28"/>
          <w:szCs w:val="28"/>
        </w:rPr>
        <w:t>залучення їх до участі у бюджетному процесі та надання можливості для вільного доступу до інформації, а також забезпечення відкритості та прозорості діяльності Тисменицької міської ради.</w:t>
      </w:r>
    </w:p>
    <w:p w:rsidR="00160A9D" w:rsidRPr="0075084E" w:rsidRDefault="00160A9D" w:rsidP="00160A9D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84E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 Бюджет участі</w:t>
      </w:r>
      <w:r w:rsidRPr="0075084E">
        <w:rPr>
          <w:rFonts w:ascii="Times New Roman" w:hAnsi="Times New Roman" w:cs="Times New Roman"/>
          <w:sz w:val="28"/>
          <w:szCs w:val="28"/>
        </w:rPr>
        <w:t xml:space="preserve"> </w:t>
      </w:r>
      <w:r w:rsidRPr="00750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процес складання, розгляду, відбору, затвердження, виконання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shd w:val="clear" w:color="auto" w:fill="FFFFFF"/>
        </w:rPr>
        <w:t>ів, звітування про їх виконання, а також контролю за дотриманням бюджетного законодавства, який триває календарний рік</w:t>
      </w:r>
      <w:r w:rsidRPr="00750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A9D" w:rsidRPr="0075084E" w:rsidRDefault="00160A9D" w:rsidP="00160A9D">
      <w:pPr>
        <w:numPr>
          <w:ilvl w:val="0"/>
          <w:numId w:val="1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bookmarkStart w:id="1" w:name="o32"/>
      <w:bookmarkEnd w:id="1"/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Проведення Бюджету участі має сприяти налагодженню системного діалогу влади із 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жителями</w:t>
      </w:r>
      <w:r w:rsidRPr="0075084E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, які</w:t>
      </w:r>
      <w:r w:rsidRPr="0075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постійн</w:t>
      </w:r>
      <w:r w:rsidRPr="0075084E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о</w:t>
      </w:r>
      <w:r w:rsidRPr="0075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прожива</w:t>
      </w:r>
      <w:r w:rsidRPr="0075084E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ють</w:t>
      </w:r>
      <w:r w:rsidRPr="0075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на території 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громади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створенню умов для їх участі у реалізації повноважень, визначених Законом України “Про місцеве самоврядування в Україні”.</w:t>
      </w:r>
    </w:p>
    <w:p w:rsidR="00160A9D" w:rsidRPr="0075084E" w:rsidRDefault="00160A9D" w:rsidP="00160A9D">
      <w:pPr>
        <w:numPr>
          <w:ilvl w:val="0"/>
          <w:numId w:val="1"/>
        </w:numPr>
        <w:shd w:val="clear" w:color="auto" w:fill="FFFFFF"/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Участь у функціонуванні </w:t>
      </w:r>
      <w:proofErr w:type="spellStart"/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партиципаторного</w:t>
      </w:r>
      <w:proofErr w:type="spellEnd"/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бюджетування можуть брати ініціативні жителі та групи громадян, громадські об’єднання та організації, інші інституції громадянського суспільства, які ведуть свою діяльність на території громади.</w:t>
      </w:r>
    </w:p>
    <w:p w:rsidR="00160A9D" w:rsidRPr="0075084E" w:rsidRDefault="00160A9D" w:rsidP="00160A9D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84E"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 w:rsidRPr="0075084E">
        <w:rPr>
          <w:rFonts w:ascii="Times New Roman" w:hAnsi="Times New Roman" w:cs="Times New Roman"/>
          <w:color w:val="000000"/>
          <w:sz w:val="28"/>
          <w:szCs w:val="28"/>
        </w:rPr>
        <w:t>Бюджету участі в громаді</w:t>
      </w:r>
      <w:r w:rsidRPr="0075084E">
        <w:rPr>
          <w:rFonts w:ascii="Times New Roman" w:hAnsi="Times New Roman" w:cs="Times New Roman"/>
          <w:sz w:val="28"/>
          <w:szCs w:val="28"/>
        </w:rPr>
        <w:t xml:space="preserve"> здійснюється за рахунок коштів бюджету Тисменицької міської ради. </w:t>
      </w:r>
      <w:r w:rsidRPr="007508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0A9D" w:rsidRPr="0075084E" w:rsidRDefault="00160A9D" w:rsidP="00160A9D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84E">
        <w:rPr>
          <w:rFonts w:ascii="Times New Roman" w:hAnsi="Times New Roman" w:cs="Times New Roman"/>
          <w:b/>
          <w:sz w:val="28"/>
          <w:szCs w:val="28"/>
          <w:u w:val="single"/>
        </w:rPr>
        <w:t>Бюджет участі міської ради на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5084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рік складає 100 000,00 (сто тисяч гривень 00 копійок) грн. </w:t>
      </w:r>
    </w:p>
    <w:p w:rsidR="00160A9D" w:rsidRPr="0075084E" w:rsidRDefault="00160A9D" w:rsidP="00160A9D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84E">
        <w:rPr>
          <w:rFonts w:ascii="Times New Roman" w:hAnsi="Times New Roman" w:cs="Times New Roman"/>
          <w:sz w:val="28"/>
          <w:szCs w:val="28"/>
        </w:rPr>
        <w:t xml:space="preserve">Загальний обсяг </w:t>
      </w:r>
      <w:r w:rsidRPr="0075084E">
        <w:rPr>
          <w:rFonts w:ascii="Times New Roman" w:hAnsi="Times New Roman" w:cs="Times New Roman"/>
          <w:color w:val="000000"/>
          <w:sz w:val="28"/>
          <w:szCs w:val="28"/>
        </w:rPr>
        <w:t xml:space="preserve">Бюджету участі </w:t>
      </w:r>
      <w:r w:rsidRPr="0075084E">
        <w:rPr>
          <w:rFonts w:ascii="Times New Roman" w:hAnsi="Times New Roman" w:cs="Times New Roman"/>
          <w:sz w:val="28"/>
          <w:szCs w:val="28"/>
        </w:rPr>
        <w:t xml:space="preserve">визначається Тисменицькою міською радою на відповідний рік згідно </w:t>
      </w:r>
      <w:r w:rsidRPr="0075084E">
        <w:rPr>
          <w:rFonts w:ascii="Times New Roman" w:hAnsi="Times New Roman" w:cs="Times New Roman"/>
          <w:bCs/>
          <w:iCs/>
          <w:sz w:val="28"/>
          <w:szCs w:val="28"/>
        </w:rPr>
        <w:t>програми “Б</w:t>
      </w:r>
      <w:r w:rsidRPr="0075084E">
        <w:rPr>
          <w:rFonts w:ascii="Times New Roman" w:hAnsi="Times New Roman" w:cs="Times New Roman"/>
          <w:sz w:val="28"/>
          <w:szCs w:val="28"/>
        </w:rPr>
        <w:t>юджет участі Тисменицької міської ради на 2021-2025 роки”. Відповідно до бюджетних надходжень, Бюджет участі щороку може збільшуватись.</w:t>
      </w:r>
    </w:p>
    <w:p w:rsidR="00160A9D" w:rsidRPr="0075084E" w:rsidRDefault="00160A9D" w:rsidP="00160A9D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84E">
        <w:rPr>
          <w:rFonts w:ascii="Times New Roman" w:hAnsi="Times New Roman" w:cs="Times New Roman"/>
          <w:sz w:val="28"/>
          <w:szCs w:val="28"/>
        </w:rPr>
        <w:t xml:space="preserve">Розмір одного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</w:rPr>
        <w:t xml:space="preserve">у не повинен перевищувати 25 000 (двадцять п’ять тисяч) грн. Відповідно до бюджетних надходжень максимальний розмір </w:t>
      </w:r>
      <w:r w:rsidRPr="0075084E">
        <w:rPr>
          <w:rFonts w:ascii="Times New Roman" w:hAnsi="Times New Roman" w:cs="Times New Roman"/>
          <w:sz w:val="28"/>
          <w:szCs w:val="28"/>
        </w:rPr>
        <w:lastRenderedPageBreak/>
        <w:t xml:space="preserve">коштів на один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</w:rPr>
        <w:t xml:space="preserve"> щороку може збільшуватись. Співфінансування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</w:rPr>
        <w:t>ів можливе, але не є обов’язковою умовою.</w:t>
      </w:r>
    </w:p>
    <w:p w:rsidR="00160A9D" w:rsidRPr="0075084E" w:rsidRDefault="00160A9D" w:rsidP="00160A9D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</w:rPr>
        <w:t>Інформація про Бюджет участі Тисменицької міської ради оприлюднюється у рубриці “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 участі” на офіційному веб</w:t>
      </w:r>
      <w:r w:rsidRPr="0075084E">
        <w:rPr>
          <w:rFonts w:ascii="Times New Roman" w:hAnsi="Times New Roman" w:cs="Times New Roman"/>
          <w:color w:val="000000"/>
          <w:sz w:val="28"/>
          <w:szCs w:val="28"/>
        </w:rPr>
        <w:t xml:space="preserve">сайті -  </w:t>
      </w:r>
      <w:hyperlink r:id="rId5" w:history="1">
        <w:r w:rsidRPr="007508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http://tsmth.if.ua/</w:t>
        </w:r>
      </w:hyperlink>
      <w:r w:rsidRPr="0075084E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Pr="00750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0A9D" w:rsidRPr="0075084E" w:rsidRDefault="00160A9D" w:rsidP="00160A9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60A9D" w:rsidRPr="0075084E" w:rsidRDefault="00160A9D" w:rsidP="00160A9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Розділ 2. Відповідальні працівники та Рада експертів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2.1. Відповідальні працівники Бюджету участі призначаються розпорядженням міського голови для організації процесу консультування, подання, прийому, реєстрації, висвітлення на сайті та промоції щодо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ів.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2.2. Рада експертів утворюється розпорядженням міського голови, складається не більше ніж з 10 осіб, з яких 1/3 складають представники громадських організацій та представники депутатського корпусу, а 2/3 – представники органів місцевого самоврядування з числа профільних спеціалістів.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2.3. Кількісний та персональний склад Ради експертів затверджується розпорядженням міського голови на основі пропозицій від представників громадських організацій, депутатів ради, батьківських комітетів шкіл та садочків тощо.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2.4. Рада експертів обирає зі свого складу голову та секретаря під час першого засідання.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2.5. Функції Ради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експертів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: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приймати рішення про відповідність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ів вимогам цього 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Положення та Програми;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 проводити попередній розгляд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ів, при необхідності надавати авторам рекомендації щодо їх доопрацювання;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 подавати висновки та рекомендації щодо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ів, поданих для фінансування за рахунок коштів Бюджету участі;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 приймати рішення щодо включення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ів в перелік для голосування;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 отримувати інформацію про хід реалізації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ів, що фінансуються за рахунок коштів Бюджету участі;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 визначати уповноважених представників для доповідей і співдоповідей з питань Бюджету участі на засіданнях виконавчого комітету Тисменицької міської ради, постійних депутатських комісій та пленарних засіданнях Тисменицької міської ради;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 контролювати хід реалізації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ів, у тому числі заслуховувати звіти керівників структурних підрозділів, посадових осіб комунальних підприємств, установ та організацій з питань реалізації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ів;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 визначати формат публічного представлення і попереднього обговорення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ів;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 визначати порядок особистого голосування та розміщення пунктів для голосування;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>- виходити з пропозиціями до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міського 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голови щодо організаційних моментів; </w:t>
      </w:r>
    </w:p>
    <w:p w:rsidR="00160A9D" w:rsidRPr="00C156BD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BC5682">
        <w:rPr>
          <w:rFonts w:ascii="Times New Roman" w:hAnsi="Times New Roman" w:cs="Times New Roman"/>
          <w:sz w:val="28"/>
          <w:szCs w:val="28"/>
          <w:lang w:eastAsia="zh-CN"/>
        </w:rPr>
        <w:t>проводити свої засідання гласно та відкрито, завчасно повідомляти про час та місце проведення засідання;</w:t>
      </w:r>
      <w:r w:rsidRPr="00C156BD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 звітувати за результатами реалізації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ів.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2.6. Рада експертів працює у формі засідань, всі рішення на засіданні ухвалюються більшістю голосів від складу ради. Засідання вважається легітимним, якщо на ньому присутні понад 50% загального складу Ради експертів. У разі рівного розподілу голосів, рішення головуючого Ради експертів має вирішальне значення.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2.7. Рада експертів затверджується терміном на один рік з моменту підписання розпорядження міським головою.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2.8. Припинення членства в Раді експертів здійснюється за власним бажанням або колегіальним рішенням з можливою рекомендацією нового члена. </w:t>
      </w:r>
    </w:p>
    <w:p w:rsidR="00160A9D" w:rsidRPr="0075084E" w:rsidRDefault="00160A9D" w:rsidP="00160A9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>2.9. Рада експертів діє на підставі Програми “Бюджет участі Тисменицької міської ради на 202</w:t>
      </w:r>
      <w:r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-2025 роки” та Положення про Бюджет участі. </w:t>
      </w:r>
    </w:p>
    <w:p w:rsidR="00160A9D" w:rsidRPr="0075084E" w:rsidRDefault="00160A9D" w:rsidP="00160A9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28"/>
          <w:lang w:eastAsia="zh-CN"/>
        </w:rPr>
      </w:pPr>
    </w:p>
    <w:p w:rsidR="00160A9D" w:rsidRPr="0075084E" w:rsidRDefault="00160A9D" w:rsidP="00160A9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Розділ 3. Інформаційна </w:t>
      </w:r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та </w:t>
      </w:r>
      <w:proofErr w:type="spellStart"/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>промоційна</w:t>
      </w:r>
      <w:proofErr w:type="spellEnd"/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5084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кампанія </w:t>
      </w:r>
    </w:p>
    <w:p w:rsidR="00160A9D" w:rsidRPr="0075084E" w:rsidRDefault="00160A9D" w:rsidP="00160A9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3.1 Інформаційна кампанія 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Бюджету участі Тисменицької міської ради 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проводиться постійно.</w:t>
      </w:r>
    </w:p>
    <w:p w:rsidR="00160A9D" w:rsidRPr="0075084E" w:rsidRDefault="00160A9D" w:rsidP="00160A9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>3.2. Інформаційну кампанію проводять відповідальні працівники, а також інші виконавчі органи Тисменицької міської ради.</w:t>
      </w:r>
    </w:p>
    <w:p w:rsidR="00160A9D" w:rsidRPr="0075084E" w:rsidRDefault="00160A9D" w:rsidP="00160A9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3.3. Інформаційна та </w:t>
      </w:r>
      <w:proofErr w:type="spellStart"/>
      <w:r w:rsidRPr="0075084E">
        <w:rPr>
          <w:rFonts w:ascii="Times New Roman" w:hAnsi="Times New Roman" w:cs="Times New Roman"/>
          <w:sz w:val="28"/>
          <w:szCs w:val="28"/>
          <w:lang w:eastAsia="zh-CN"/>
        </w:rPr>
        <w:t>промоційна</w:t>
      </w:r>
      <w:proofErr w:type="spellEnd"/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 кампанія ділиться на чотири етапи:  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3.3.1. </w:t>
      </w:r>
      <w:r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знайомлення мешканців з основними положеннями та принципами Бюджету участі, а також заохочування мешканців до подання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ів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3.3.2. </w:t>
      </w:r>
      <w:r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нформування про хронологію, етапи і дати проведення заходів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>3.3.3. </w:t>
      </w:r>
      <w:r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редставлення отриманих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ів та заохочення до участі у голосуванні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>3.3.4.</w:t>
      </w:r>
      <w:r w:rsidRPr="0075084E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озповсюдження інформації стосовно перебігу та результатів процесу запровадження Бюджету участі.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28"/>
          <w:lang w:eastAsia="zh-CN"/>
        </w:rPr>
      </w:pPr>
    </w:p>
    <w:p w:rsidR="00160A9D" w:rsidRPr="0075084E" w:rsidRDefault="00160A9D" w:rsidP="00160A9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Розділ 4. Подання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ів 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4.1.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можуть подавати жителі</w:t>
      </w:r>
      <w:r w:rsidRPr="0075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, які постійно проживають у межах 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громади та яким виповнилося 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18</w:t>
      </w:r>
      <w:r w:rsidRPr="0075084E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років. Автор може подавати лиш один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на рік. Посадові особи органів місцевого самоврядування та депутати міської ради бути </w:t>
      </w:r>
      <w:proofErr w:type="spellStart"/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подавачами</w:t>
      </w:r>
      <w:proofErr w:type="spellEnd"/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не можуть.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4.2. Назва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 повинна бути викладена лаконічно, в межах одного речення. Оригінальні назви не повинні суперечити їх основній меті.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4.3. Вимоги до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у: 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- реалізація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у повинна здійснюватися в межах одного календарного року;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- реалізація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у має бути в компетенції органів місцевого самоврядування;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- реалізація повинна здійснюватися на території громади;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pacing w:val="-2"/>
          <w:sz w:val="28"/>
          <w:szCs w:val="28"/>
          <w:lang w:eastAsia="zh-CN"/>
        </w:rPr>
        <w:t xml:space="preserve">- сфера реалізації </w:t>
      </w:r>
      <w:r>
        <w:rPr>
          <w:rFonts w:ascii="Times New Roman" w:hAnsi="Times New Roman" w:cs="Times New Roman"/>
          <w:spacing w:val="-2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pacing w:val="-2"/>
          <w:sz w:val="28"/>
          <w:szCs w:val="28"/>
          <w:lang w:eastAsia="zh-CN"/>
        </w:rPr>
        <w:t>у повинна бути публічною.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4.4. У рамках Бюджету участі не можуть прийматися до розгляду наступні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и, які:</w:t>
      </w:r>
    </w:p>
    <w:p w:rsidR="00160A9D" w:rsidRPr="0075084E" w:rsidRDefault="00160A9D" w:rsidP="0016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E">
        <w:rPr>
          <w:rFonts w:ascii="Times New Roman" w:hAnsi="Times New Roman" w:cs="Times New Roman"/>
          <w:sz w:val="28"/>
          <w:szCs w:val="28"/>
        </w:rPr>
        <w:t>- є фрагментарними (виконання одного з елементів в майбутньому вимагатиме прийняття подальших елементів);</w:t>
      </w:r>
    </w:p>
    <w:p w:rsidR="00160A9D" w:rsidRPr="0075084E" w:rsidRDefault="00160A9D" w:rsidP="0016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E">
        <w:rPr>
          <w:rFonts w:ascii="Times New Roman" w:hAnsi="Times New Roman" w:cs="Times New Roman"/>
          <w:sz w:val="28"/>
          <w:szCs w:val="28"/>
        </w:rPr>
        <w:t>- суперечать діючим програмам Тисменицької міської ради або дублюють завдання, які передбачені цими програмами на поточний рік;</w:t>
      </w:r>
    </w:p>
    <w:p w:rsidR="00160A9D" w:rsidRPr="0075084E" w:rsidRDefault="00160A9D" w:rsidP="0016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E">
        <w:rPr>
          <w:rFonts w:ascii="Times New Roman" w:hAnsi="Times New Roman" w:cs="Times New Roman"/>
          <w:sz w:val="28"/>
          <w:szCs w:val="28"/>
        </w:rPr>
        <w:t>- суперечать чинному законодавству України;</w:t>
      </w:r>
    </w:p>
    <w:p w:rsidR="00160A9D" w:rsidRPr="0075084E" w:rsidRDefault="00160A9D" w:rsidP="0016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E">
        <w:rPr>
          <w:rFonts w:ascii="Times New Roman" w:hAnsi="Times New Roman" w:cs="Times New Roman"/>
          <w:sz w:val="28"/>
          <w:szCs w:val="28"/>
        </w:rPr>
        <w:lastRenderedPageBreak/>
        <w:t xml:space="preserve">- передбачають витрати на утримання та обслуговування, що перевищують вартість реалізації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</w:rPr>
        <w:t>у.</w:t>
      </w:r>
      <w:r w:rsidRPr="00750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4.5. 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має бути поданий відповідно до ф</w:t>
      </w:r>
      <w:r w:rsidRPr="0075084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zh-CN"/>
        </w:rPr>
        <w:t xml:space="preserve">орми 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з мінімальною кількістю підписів - 10 (окрім автора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у). 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4.6. Форма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у у електронній версії доступна на 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офіційному вебсайті Тисменицької міської ради  (</w:t>
      </w:r>
      <w:hyperlink r:id="rId6" w:history="1">
        <w:r w:rsidRPr="0075084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http://tsmth.if.ua/</w:t>
        </w:r>
      </w:hyperlink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) у рубриці “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Бюджет участі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”.</w:t>
      </w:r>
    </w:p>
    <w:p w:rsidR="00160A9D" w:rsidRPr="006A6F8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4.7. 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 Кожен житель громади в період подання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ідей може підтримати не більше, 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ніж 1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zh-CN"/>
        </w:rPr>
        <w:t>4.8</w:t>
      </w:r>
      <w:r w:rsidRPr="0075084E">
        <w:rPr>
          <w:rFonts w:ascii="Times New Roman" w:hAnsi="Times New Roman" w:cs="Times New Roman"/>
          <w:spacing w:val="-2"/>
          <w:sz w:val="28"/>
          <w:szCs w:val="28"/>
          <w:lang w:eastAsia="zh-CN"/>
        </w:rPr>
        <w:t xml:space="preserve">. Форма </w:t>
      </w:r>
      <w:r>
        <w:rPr>
          <w:rFonts w:ascii="Times New Roman" w:hAnsi="Times New Roman" w:cs="Times New Roman"/>
          <w:spacing w:val="-2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pacing w:val="-2"/>
          <w:sz w:val="28"/>
          <w:szCs w:val="28"/>
          <w:lang w:eastAsia="zh-CN"/>
        </w:rPr>
        <w:t xml:space="preserve">у складається та подається протягом 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30 днів: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 за адресою: Тисменицька міська рада </w:t>
      </w:r>
      <w:r w:rsidRPr="0075084E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77401, вул. Галицька, 17, м. Тисмениця;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 електронною поштою за адресою </w:t>
      </w:r>
      <w:hyperlink r:id="rId7" w:history="1">
        <w:r w:rsidRPr="0075084E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tismenicja@gmail.com</w:t>
        </w:r>
      </w:hyperlink>
      <w:r w:rsidRPr="0075084E">
        <w:rPr>
          <w:rFonts w:ascii="Times New Roman" w:hAnsi="Times New Roman" w:cs="Times New Roman"/>
          <w:i/>
          <w:iCs/>
          <w:sz w:val="28"/>
          <w:szCs w:val="28"/>
          <w:lang w:val="ru-RU" w:eastAsia="zh-CN"/>
        </w:rPr>
        <w:t xml:space="preserve"> 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у вигляді </w:t>
      </w:r>
      <w:proofErr w:type="spellStart"/>
      <w:r w:rsidRPr="0075084E">
        <w:rPr>
          <w:rFonts w:ascii="Times New Roman" w:hAnsi="Times New Roman" w:cs="Times New Roman"/>
          <w:sz w:val="28"/>
          <w:szCs w:val="28"/>
          <w:lang w:eastAsia="zh-CN"/>
        </w:rPr>
        <w:t>відсканованого</w:t>
      </w:r>
      <w:proofErr w:type="spellEnd"/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 оригіналу документу.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>4.10.</w:t>
      </w:r>
      <w:r w:rsidRPr="0075084E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у обов’язково додається кошторис витрат (бюджет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у). 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4.11. Пріоритетні напрямки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ів:</w:t>
      </w:r>
    </w:p>
    <w:p w:rsidR="00160A9D" w:rsidRPr="0075084E" w:rsidRDefault="00160A9D" w:rsidP="00160A9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Підтримка ініціатив у сфері благоустрою громади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 (Діяльність у даному напрямку може включати в себе наступне: реалізація заходів щодо формування поведінки дбайливого ставлення до навколишнього природного середовища та створення умов, які сприяють чистоті й красі своєї громади (ремонт, будівництво дитячих і спортивних майданчиків; благоустрій парків, скверів; ремонт пам'ятників; ліквідація стихійних звалищ тощо), а також іншу діяльність, не обмежуючись даним переліком.</w:t>
      </w:r>
    </w:p>
    <w:p w:rsidR="00160A9D" w:rsidRPr="0075084E" w:rsidRDefault="00160A9D" w:rsidP="00160A9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Підтримка ініціатив у сфері пропаганди здорового способу життя та популяризації занять спортом</w:t>
      </w:r>
      <w:r w:rsidRPr="0075084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.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(Діяльність у даному напрямку може включати в себе наступне: проведення просвітницьких акцій серед підлітків, спрямованих на роз'яснення проблеми поширення ВІЛ-інфекції, проблеми наркоманії, шкоди куріння та пропаганду здорового способу життя; залучення в спорт дітей, молоді та старшого покоління і впровадження інноваційних форм пропаганди здорового способу життя; організація змістовного дозвілля для дітей шкільного віку в позаурочний та канікулярний час, організація спортивних заходів, турнірів, змагань та інших громадських ініціатив у цій сфері).</w:t>
      </w:r>
    </w:p>
    <w:p w:rsidR="00160A9D" w:rsidRPr="0075084E" w:rsidRDefault="00160A9D" w:rsidP="00160A9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Підтримка та розвиток освітніх, культурних і творчих ініціатив.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(Діяльність у даному напрямку може включати в себе наступне: просування мистецтва, створення умов для самовираження дітей, молоді (арт-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и, арт-клуби тощо), а так само іншу діяльність, не обмежуючись цим переліком.</w:t>
      </w:r>
    </w:p>
    <w:p w:rsidR="00160A9D" w:rsidRPr="0075084E" w:rsidRDefault="00160A9D" w:rsidP="00160A9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Підтримка громадських ініціатив у сфері енергоефективності та енергозбереження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 (Діяльність у даному напрямку може включати в себе наступне: роботу з активізації громадськості у напрямі використання енергоефективних та енергозберігаючих технологій, але не обмежуватися даним переліком).</w:t>
      </w:r>
    </w:p>
    <w:p w:rsidR="00160A9D" w:rsidRPr="0075084E" w:rsidRDefault="00160A9D" w:rsidP="00160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A9D" w:rsidRPr="0075084E" w:rsidRDefault="00160A9D" w:rsidP="00160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4E">
        <w:rPr>
          <w:rFonts w:ascii="Times New Roman" w:hAnsi="Times New Roman" w:cs="Times New Roman"/>
          <w:b/>
          <w:sz w:val="28"/>
          <w:szCs w:val="28"/>
        </w:rPr>
        <w:t xml:space="preserve">Розділ 5. Перевірка </w:t>
      </w:r>
      <w:r>
        <w:rPr>
          <w:rFonts w:ascii="Times New Roman" w:hAnsi="Times New Roman" w:cs="Times New Roman"/>
          <w:b/>
          <w:sz w:val="28"/>
          <w:szCs w:val="28"/>
        </w:rPr>
        <w:t>проєкт</w:t>
      </w:r>
      <w:r w:rsidRPr="0075084E">
        <w:rPr>
          <w:rFonts w:ascii="Times New Roman" w:hAnsi="Times New Roman" w:cs="Times New Roman"/>
          <w:b/>
          <w:sz w:val="28"/>
          <w:szCs w:val="28"/>
        </w:rPr>
        <w:t>у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5.1. Заповнені </w:t>
      </w:r>
      <w:r w:rsidRPr="0075084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zh-CN"/>
        </w:rPr>
        <w:t xml:space="preserve">форми подання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zh-CN"/>
        </w:rPr>
        <w:t>ів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 підлягають попередній перевірці, яку проводять відповідальні працівники.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5.2.</w:t>
      </w:r>
      <w:r w:rsidRPr="0075084E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У разі, якщо форма заповнена не повністю або з помилками, відповідальні працівники по телефон</w:t>
      </w:r>
      <w:r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 або електронною поштою повідомляють про це автора/авторів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у з проханням надати необхідну інформацію або внести корективи протягом 5 днів з дня отримання інформації.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>5.3.</w:t>
      </w:r>
      <w:r w:rsidRPr="0075084E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З метою здійснення більш детальної перевірки та оцінки кожного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у відповідальні працівники після формальної перевірки передають скановані форми до Ради експертів, яка створюється розпорядженням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міського 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голови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 5.4. Рада експертів протягом 15 днів з дня отримання сканованих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ів здійснює аналіз та заповнює картку аналізу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у та надає обґрунтовані рекомендації щодо внесення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у в бланк для голосування.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5.5. У разі, якщо формуляр не міститиме інформації, необхідної для його аналізу та оцінки, по телефону або електронною поштою члени Ради експертів відповідно до повноважень звертаються до автора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у з проханням надати необхідну інформацію протягом 5 днів. 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5.6. Члени Ради експертів відразу передають відповідальним працівникам заповнені карти аналізу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ів.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5.7. Внесення будь-яких змін в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и, зокрема, зміни локалізації чи об’єднання з іншими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ами</w:t>
      </w:r>
      <w:proofErr w:type="spellEnd"/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, можливі лише за згодою авторів даних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ів.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5.8. На основі результатів роботи Ради експертів відповідальні працівники складають списки позитивно і негативно оцінених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ів.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5.9. Списки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ами</w:t>
      </w:r>
      <w:proofErr w:type="spellEnd"/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реалізація яких відбуватиметься за рахунок коштів Бюджету участі і які отримали позитивну або ж негативну оцінку (з аргументованими мотивам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 відмови), розміщуються на веб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сайті міської ради (</w:t>
      </w:r>
      <w:hyperlink r:id="rId8" w:history="1">
        <w:r w:rsidRPr="0075084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http://tsmth.if.ua/</w:t>
        </w:r>
      </w:hyperlink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 у рубриці “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Бюджет участі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”.</w:t>
      </w:r>
    </w:p>
    <w:p w:rsidR="00160A9D" w:rsidRPr="0075084E" w:rsidRDefault="00160A9D" w:rsidP="00160A9D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60A9D" w:rsidRPr="0075084E" w:rsidRDefault="00160A9D" w:rsidP="00160A9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Розділ 6. </w:t>
      </w:r>
      <w:r w:rsidRPr="0075084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Голосування за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и та підрахунок результатів 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6.1. Вибір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ів, які попередньо отримали позитивну оцінку і були виставлені на голосування, здійснюють жителі</w:t>
      </w:r>
      <w:r w:rsidRPr="0075084E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, які</w:t>
      </w:r>
      <w:r w:rsidRPr="0075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постійн</w:t>
      </w:r>
      <w:r w:rsidRPr="0075084E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о</w:t>
      </w:r>
      <w:r w:rsidRPr="0075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прожива</w:t>
      </w:r>
      <w:r w:rsidRPr="0075084E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ють</w:t>
      </w:r>
      <w:r w:rsidRPr="0075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у межах 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громади та яким виповнилося 18</w:t>
      </w:r>
      <w:r w:rsidRPr="0075084E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років, шляхом відкритого голосування у пунктах голосування, які </w:t>
      </w:r>
      <w:r>
        <w:rPr>
          <w:rFonts w:ascii="Times New Roman" w:hAnsi="Times New Roman" w:cs="Times New Roman"/>
          <w:sz w:val="28"/>
          <w:szCs w:val="28"/>
          <w:lang w:eastAsia="zh-CN"/>
        </w:rPr>
        <w:t>визначаються Радою експертів,</w:t>
      </w:r>
      <w:r w:rsidRPr="0075084E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eastAsia="zh-CN"/>
        </w:rPr>
        <w:t>онлайн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-голосуванням.</w:t>
      </w:r>
    </w:p>
    <w:p w:rsidR="00160A9D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6.2. Кожен учасник голосування може підтримати </w:t>
      </w:r>
      <w:r>
        <w:rPr>
          <w:rFonts w:ascii="Times New Roman" w:hAnsi="Times New Roman" w:cs="Times New Roman"/>
          <w:sz w:val="28"/>
          <w:szCs w:val="28"/>
          <w:lang w:eastAsia="zh-CN"/>
        </w:rPr>
        <w:t>один 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, вказавши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 бланку для голосування номер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проєкту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6.3. Перелік пунктів голосування має бути оприлюднений не пізніше як за </w:t>
      </w:r>
      <w:r w:rsidRPr="00D034DF"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D034DF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днів до дня початку голосування на вебсайті 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міської ради (</w:t>
      </w:r>
      <w:hyperlink r:id="rId9" w:history="1">
        <w:r w:rsidRPr="0075084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http://tsmth.if.ua/</w:t>
        </w:r>
      </w:hyperlink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6.4. В пунктах голосування можна отримати перелік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ів,</w:t>
      </w:r>
      <w:r w:rsidRPr="0075084E">
        <w:rPr>
          <w:rFonts w:ascii="Times New Roman" w:hAnsi="Times New Roman" w:cs="Times New Roman"/>
          <w:color w:val="FF6600"/>
          <w:sz w:val="28"/>
          <w:szCs w:val="28"/>
          <w:lang w:eastAsia="zh-CN"/>
        </w:rPr>
        <w:t xml:space="preserve"> 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які визначені для голосування. 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6.5. Вибір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ів, які визначені для голосування, здійснюється у електронній версії на 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вебсайті міської ради (</w:t>
      </w:r>
      <w:hyperlink r:id="rId10" w:history="1">
        <w:r w:rsidRPr="0075084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http://tsmth.if.ua/</w:t>
        </w:r>
      </w:hyperlink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 у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 рубриці “</w:t>
      </w:r>
      <w:r>
        <w:rPr>
          <w:rFonts w:ascii="Times New Roman" w:hAnsi="Times New Roman" w:cs="Times New Roman"/>
          <w:sz w:val="28"/>
          <w:szCs w:val="28"/>
          <w:lang w:eastAsia="zh-CN"/>
        </w:rPr>
        <w:t>Бюджет участі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”.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>6.6. Голосування відбувається шляхом: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 голосування у 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рубриці “</w:t>
      </w:r>
      <w:r>
        <w:rPr>
          <w:rFonts w:ascii="Times New Roman" w:hAnsi="Times New Roman" w:cs="Times New Roman"/>
          <w:sz w:val="28"/>
          <w:szCs w:val="28"/>
          <w:lang w:eastAsia="zh-CN"/>
        </w:rPr>
        <w:t>Бюджет участі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”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на вебсайті Тисменицької міської ради (</w:t>
      </w:r>
      <w:hyperlink r:id="rId11" w:history="1">
        <w:r w:rsidRPr="0075084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http://tsmth.if.ua/</w:t>
        </w:r>
      </w:hyperlink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голосування у спеціально-визначених пунктах голосування шляхом заповнення бланку та спеціальної скриньки.</w:t>
      </w:r>
    </w:p>
    <w:p w:rsidR="00160A9D" w:rsidRPr="0075084E" w:rsidRDefault="00160A9D" w:rsidP="00160A9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6.7. Встановлення підсумків голосування передбачає підрахунок балів, відданих за кожний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 окремо, реалізація якого відбуватиметься за рахунок коштів Бюджету участі та подальше укладання списків з результатами голосування.</w:t>
      </w:r>
    </w:p>
    <w:p w:rsidR="00160A9D" w:rsidRPr="0075084E" w:rsidRDefault="00160A9D" w:rsidP="00160A9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6.8. Реалізовуватимуться ті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и, які набрали найбільшу кількість балів за рейтинговою системою, але при цьому враховуються наступні умови:</w:t>
      </w:r>
    </w:p>
    <w:p w:rsidR="00160A9D" w:rsidRPr="0075084E" w:rsidRDefault="00160A9D" w:rsidP="00160A9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 всі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и-переможці не можуть бути реалізовані в одному населеному пункті громади (переможцем буде визнаватися наступний по рейтингу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 з іншого населеного пункту, в разі його наявності);</w:t>
      </w:r>
    </w:p>
    <w:p w:rsidR="00160A9D" w:rsidRPr="0075084E" w:rsidRDefault="00160A9D" w:rsidP="00160A9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 якщо організатори виявлять махінації в процесі голосування (подвійне голосування, неіснуючий голос, неіснуючі адреси або з-за меж громади та інші), то ці голоси не будуть враховуватися до даних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ів;</w:t>
      </w:r>
    </w:p>
    <w:p w:rsidR="00160A9D" w:rsidRPr="0075084E" w:rsidRDefault="00160A9D" w:rsidP="00160A9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- якщо автор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у в попередньому році був переможцем, але не надав відповідного звіту за реалізацію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у, то новий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 втрачає 5% голосів від загальної кількості поданих за цей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проєкт.</w:t>
      </w:r>
    </w:p>
    <w:p w:rsidR="00160A9D" w:rsidRPr="0075084E" w:rsidRDefault="00160A9D" w:rsidP="00160A9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6.9. Якщо в результаті голосування два або більше відібраних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и будуть суперечити один одному, приймається той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, який отримав найбільшу підтримку.</w:t>
      </w:r>
    </w:p>
    <w:p w:rsidR="00160A9D" w:rsidRPr="0075084E" w:rsidRDefault="00160A9D" w:rsidP="00160A9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60A9D" w:rsidRPr="0075084E" w:rsidRDefault="00160A9D" w:rsidP="00160A9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Розділ 7. Реалізація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ів та оцінка процесу 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7.1.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и починають реалізовуватися відповідно до графіка реалізації Бюджету участі Тисменицької міської ради та графіків самих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ів-переможців. 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7.2. Організатором та/або виконавцем та/або інвестором щодо реалізації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у, який переміг, може виступати переможець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у, але фінансування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у залишається за Тисменицькою міською радою через головних розпорядників бюджетних коштів.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7.3. Автор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 відповідає за реалізацію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 у відповідності до видів діяльності представлених у Заявці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 та контролює виконання свого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 на будь-якому етапі. </w:t>
      </w:r>
    </w:p>
    <w:p w:rsidR="00160A9D" w:rsidRPr="0075084E" w:rsidRDefault="00160A9D" w:rsidP="0016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E">
        <w:rPr>
          <w:rFonts w:ascii="Times New Roman" w:hAnsi="Times New Roman" w:cs="Times New Roman"/>
          <w:sz w:val="28"/>
          <w:szCs w:val="28"/>
        </w:rPr>
        <w:t xml:space="preserve">7.4. Автор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</w:rPr>
        <w:t>у залишає за собою право:</w:t>
      </w:r>
    </w:p>
    <w:p w:rsidR="00160A9D" w:rsidRPr="0075084E" w:rsidRDefault="00160A9D" w:rsidP="0016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4E">
        <w:rPr>
          <w:rFonts w:ascii="Times New Roman" w:hAnsi="Times New Roman" w:cs="Times New Roman"/>
          <w:sz w:val="28"/>
          <w:szCs w:val="28"/>
        </w:rPr>
        <w:t xml:space="preserve">- рекомендувати підрядні організації для реалізації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</w:rPr>
        <w:t>у;</w:t>
      </w:r>
    </w:p>
    <w:p w:rsidR="00160A9D" w:rsidRPr="0075084E" w:rsidRDefault="00160A9D" w:rsidP="00160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84E">
        <w:rPr>
          <w:rFonts w:ascii="Times New Roman" w:hAnsi="Times New Roman" w:cs="Times New Roman"/>
          <w:sz w:val="28"/>
          <w:szCs w:val="28"/>
        </w:rPr>
        <w:t xml:space="preserve">- контролювати цільове витрачання коштів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75084E">
        <w:rPr>
          <w:rFonts w:ascii="Times New Roman" w:hAnsi="Times New Roman" w:cs="Times New Roman"/>
          <w:b/>
          <w:sz w:val="28"/>
          <w:szCs w:val="28"/>
        </w:rPr>
        <w:t>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7.5. З метою вдосконалення процесу реалізації Бюджету участі головний розпорядник бюджетних коштів (виконавець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 xml:space="preserve">у), або за його пропозицією інша особа, здійснює подання звітів про виконання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sz w:val="28"/>
          <w:szCs w:val="28"/>
          <w:lang w:eastAsia="zh-CN"/>
        </w:rPr>
        <w:t>у, згідно з рішенням відповідного органу місцевого самоврядування.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0A9D" w:rsidRPr="0075084E" w:rsidRDefault="00160A9D" w:rsidP="00160A9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>Розділ 8. Порядок звітування</w:t>
      </w:r>
    </w:p>
    <w:p w:rsidR="00160A9D" w:rsidRPr="0075084E" w:rsidRDefault="00160A9D" w:rsidP="00160A9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8.1. Про результати реалізації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ів за рахунок коштів Бюджету участі Рада експертів формує загальний звіт на основі звітів, що надійшли в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ід авторів проєктів-переможців, 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головних розпорядників коштів, комунальних підприємств, установ та організації, які брали участь в реалізації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ів. </w:t>
      </w:r>
    </w:p>
    <w:p w:rsidR="00160A9D" w:rsidRPr="0075084E" w:rsidRDefault="00160A9D" w:rsidP="00160A9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8.2. Загальний звіт про виконання Програми виноситься на чергове пленарне засідання сесії Тисменицької міської ради в кінці бюджетного року головою Ради експертів.</w:t>
      </w:r>
    </w:p>
    <w:p w:rsidR="00160A9D" w:rsidRPr="0075084E" w:rsidRDefault="00160A9D" w:rsidP="00160A9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8.3. Звіт включає в себе:</w:t>
      </w:r>
    </w:p>
    <w:p w:rsidR="00160A9D" w:rsidRPr="0075084E" w:rsidRDefault="00160A9D" w:rsidP="00160A9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загальний опис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ів;</w:t>
      </w:r>
    </w:p>
    <w:p w:rsidR="00160A9D" w:rsidRPr="0075084E" w:rsidRDefault="00160A9D" w:rsidP="00160A9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 опис робіт, які було проведено та їх послідовність (а також інформація про невиконані заплановані роботи та причину невиконання);</w:t>
      </w:r>
    </w:p>
    <w:p w:rsidR="00160A9D" w:rsidRPr="0075084E" w:rsidRDefault="00160A9D" w:rsidP="00160A9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фактичний бюджет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у;</w:t>
      </w:r>
    </w:p>
    <w:p w:rsidR="00160A9D" w:rsidRPr="0075084E" w:rsidRDefault="00160A9D" w:rsidP="00160A9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фото-звіт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проєкт</w:t>
      </w: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084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8.4. Звіти про виконання Програми підлягають оприлюдненню на офіційному вебсайті Тисменицької міської ради.</w:t>
      </w:r>
    </w:p>
    <w:p w:rsidR="00160A9D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0A9D" w:rsidRPr="0075084E" w:rsidRDefault="00160A9D" w:rsidP="00160A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D2140" w:rsidRDefault="00160A9D" w:rsidP="00160A9D">
      <w:pPr>
        <w:suppressAutoHyphens/>
        <w:spacing w:after="0" w:line="240" w:lineRule="auto"/>
        <w:jc w:val="both"/>
      </w:pPr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>Міський голова</w:t>
      </w:r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Pr="0075084E">
        <w:rPr>
          <w:rFonts w:ascii="Times New Roman" w:hAnsi="Times New Roman" w:cs="Times New Roman"/>
          <w:b/>
          <w:sz w:val="28"/>
          <w:szCs w:val="28"/>
          <w:lang w:eastAsia="zh-CN"/>
        </w:rPr>
        <w:tab/>
        <w:t xml:space="preserve">    Тетяна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Градюк</w:t>
      </w:r>
    </w:p>
    <w:sectPr w:rsidR="00CD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70404"/>
    <w:multiLevelType w:val="hybridMultilevel"/>
    <w:tmpl w:val="5D68B36C"/>
    <w:lvl w:ilvl="0" w:tplc="3CBE9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D7AAD"/>
    <w:multiLevelType w:val="multilevel"/>
    <w:tmpl w:val="84588ED8"/>
    <w:lvl w:ilvl="0">
      <w:start w:val="1"/>
      <w:numFmt w:val="decimal"/>
      <w:lvlText w:val="1.%1"/>
      <w:lvlJc w:val="left"/>
      <w:pPr>
        <w:ind w:left="502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9D"/>
    <w:rsid w:val="00160A9D"/>
    <w:rsid w:val="00C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1C65A-F1BA-4A1D-ADEC-26F3A274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9D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9D"/>
    <w:pPr>
      <w:spacing w:after="160" w:line="259" w:lineRule="auto"/>
      <w:ind w:left="720"/>
      <w:contextualSpacing/>
    </w:pPr>
    <w:rPr>
      <w:rFonts w:eastAsia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mnytsia-otg.if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smenicj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mnytsia-otg.if.ua" TargetMode="External"/><Relationship Id="rId11" Type="http://schemas.openxmlformats.org/officeDocument/2006/relationships/hyperlink" Target="http://yamnytsia-otg.if.ua" TargetMode="External"/><Relationship Id="rId5" Type="http://schemas.openxmlformats.org/officeDocument/2006/relationships/hyperlink" Target="http://yamnytsia-otg.if.ua" TargetMode="External"/><Relationship Id="rId10" Type="http://schemas.openxmlformats.org/officeDocument/2006/relationships/hyperlink" Target="http://yamnytsia-otg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mnytsia-otg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2362</Words>
  <Characters>13465</Characters>
  <Application>Microsoft Office Word</Application>
  <DocSecurity>0</DocSecurity>
  <Lines>112</Lines>
  <Paragraphs>31</Paragraphs>
  <ScaleCrop>false</ScaleCrop>
  <Company/>
  <LinksUpToDate>false</LinksUpToDate>
  <CharactersWithSpaces>15796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2023-03-10T12:56:00Z</dcterms:created>
  <dcterms:modified xsi:type="dcterms:W3CDTF">2023-03-10T12:56:00Z</dcterms:modified>
</cp:coreProperties>
</file>